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SCAFFOLD ERECTION AND DISMANTLING</w:t>
      </w:r>
    </w:p>
    <w:p>
      <w:pPr>
        <w:spacing w:after="480"/>
      </w:pPr>
      <w:r>
        <w:rPr>
          <w:rFonts w:ascii="Aptos" w:hAnsi="Aptos"/>
          <w:b w:val="0"/>
          <w:color w:val="5E6B78"/>
          <w:sz w:val="26"/>
        </w:rPr>
        <w:t>Pemasangan dan Pembukaan Perancah</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MS-SAF-002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scaffold erection and dismantling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scaffold erection and dismantling.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Certified scaffold components</w:t>
      </w:r>
    </w:p>
    <w:p>
      <w:pPr>
        <w:pStyle w:val="ListBullet"/>
        <w:spacing w:after="50"/>
        <w:ind w:left="369" w:hanging="170"/>
      </w:pPr>
      <w:r>
        <w:rPr>
          <w:rFonts w:ascii="Aptos" w:hAnsi="Aptos"/>
          <w:b w:val="0"/>
          <w:color w:val="263442"/>
          <w:sz w:val="19"/>
        </w:rPr>
        <w:t>Base plates</w:t>
      </w:r>
    </w:p>
    <w:p>
      <w:pPr>
        <w:pStyle w:val="ListBullet"/>
        <w:spacing w:after="50"/>
        <w:ind w:left="369" w:hanging="170"/>
      </w:pPr>
      <w:r>
        <w:rPr>
          <w:rFonts w:ascii="Aptos" w:hAnsi="Aptos"/>
          <w:b w:val="0"/>
          <w:color w:val="263442"/>
          <w:sz w:val="19"/>
        </w:rPr>
        <w:t>Ties</w:t>
      </w:r>
    </w:p>
    <w:p>
      <w:pPr>
        <w:pStyle w:val="ListBullet"/>
        <w:spacing w:after="50"/>
        <w:ind w:left="369" w:hanging="170"/>
      </w:pPr>
      <w:r>
        <w:rPr>
          <w:rFonts w:ascii="Aptos" w:hAnsi="Aptos"/>
          <w:b w:val="0"/>
          <w:color w:val="263442"/>
          <w:sz w:val="19"/>
        </w:rPr>
        <w:t>Decks</w:t>
      </w:r>
    </w:p>
    <w:p>
      <w:pPr>
        <w:pStyle w:val="ListBullet"/>
        <w:spacing w:after="50"/>
        <w:ind w:left="369" w:hanging="170"/>
      </w:pPr>
      <w:r>
        <w:rPr>
          <w:rFonts w:ascii="Aptos" w:hAnsi="Aptos"/>
          <w:b w:val="0"/>
          <w:color w:val="263442"/>
          <w:sz w:val="19"/>
        </w:rPr>
        <w:t>Guardrails</w:t>
      </w:r>
    </w:p>
    <w:p>
      <w:pPr>
        <w:pStyle w:val="ListBullet"/>
        <w:spacing w:after="50"/>
        <w:ind w:left="369" w:hanging="170"/>
      </w:pPr>
      <w:r>
        <w:rPr>
          <w:rFonts w:ascii="Aptos" w:hAnsi="Aptos"/>
          <w:b w:val="0"/>
          <w:color w:val="263442"/>
          <w:sz w:val="19"/>
        </w:rPr>
        <w:t>Tags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Hand tools</w:t>
      </w:r>
    </w:p>
    <w:p>
      <w:pPr>
        <w:pStyle w:val="ListBullet"/>
        <w:spacing w:after="50"/>
        <w:ind w:left="369" w:hanging="170"/>
      </w:pPr>
      <w:r>
        <w:rPr>
          <w:rFonts w:ascii="Aptos" w:hAnsi="Aptos"/>
          <w:b w:val="0"/>
          <w:color w:val="263442"/>
          <w:sz w:val="19"/>
        </w:rPr>
        <w:t>Hoist</w:t>
      </w:r>
    </w:p>
    <w:p>
      <w:pPr>
        <w:pStyle w:val="ListBullet"/>
        <w:spacing w:after="50"/>
        <w:ind w:left="369" w:hanging="170"/>
      </w:pPr>
      <w:r>
        <w:rPr>
          <w:rFonts w:ascii="Aptos" w:hAnsi="Aptos"/>
          <w:b w:val="0"/>
          <w:color w:val="263442"/>
          <w:sz w:val="19"/>
        </w:rPr>
        <w:t>Fall-arrest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scaffold erection and dismantling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Certified scaffold components, Base plates, Ties, Decks, Guardrails, Tags.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scaffold design or standard configuration. </w:t>
      </w:r>
      <w:r>
        <w:rPr>
          <w:rFonts w:ascii="Aptos" w:hAnsi="Aptos"/>
          <w:b w:val="0"/>
          <w:color w:val="263442"/>
          <w:sz w:val="19"/>
        </w:rPr>
        <w:t>Confirm scaffold design or standard configuration and foundation condition.</w:t>
      </w:r>
    </w:p>
    <w:p>
      <w:pPr>
        <w:keepLines/>
        <w:spacing w:after="100" w:line="269" w:lineRule="auto"/>
        <w:ind w:left="369" w:hanging="369"/>
      </w:pPr>
      <w:r>
        <w:rPr>
          <w:rFonts w:ascii="Aptos" w:hAnsi="Aptos"/>
          <w:b/>
          <w:color w:val="071E33"/>
          <w:sz w:val="19"/>
        </w:rPr>
        <w:t xml:space="preserve">2. Establish an exclusion zone. </w:t>
      </w:r>
      <w:r>
        <w:rPr>
          <w:rFonts w:ascii="Aptos" w:hAnsi="Aptos"/>
          <w:b w:val="0"/>
          <w:color w:val="263442"/>
          <w:sz w:val="19"/>
        </w:rPr>
        <w:t>Establish an exclusion zone and inspect all components.</w:t>
      </w:r>
    </w:p>
    <w:p>
      <w:pPr>
        <w:keepLines/>
        <w:spacing w:after="100" w:line="269" w:lineRule="auto"/>
        <w:ind w:left="369" w:hanging="369"/>
      </w:pPr>
      <w:r>
        <w:rPr>
          <w:rFonts w:ascii="Aptos" w:hAnsi="Aptos"/>
          <w:b/>
          <w:color w:val="071E33"/>
          <w:sz w:val="19"/>
        </w:rPr>
        <w:t xml:space="preserve">3. Erect progressively with bases. </w:t>
      </w:r>
      <w:r>
        <w:rPr>
          <w:rFonts w:ascii="Aptos" w:hAnsi="Aptos"/>
          <w:b w:val="0"/>
          <w:color w:val="263442"/>
          <w:sz w:val="19"/>
        </w:rPr>
        <w:t>Erect progressively with bases, standards, ledgers, bracing and ties.</w:t>
      </w:r>
    </w:p>
    <w:p>
      <w:pPr>
        <w:keepLines/>
        <w:spacing w:after="100" w:line="269" w:lineRule="auto"/>
        <w:ind w:left="369" w:hanging="369"/>
      </w:pPr>
      <w:r>
        <w:rPr>
          <w:rFonts w:ascii="Aptos" w:hAnsi="Aptos"/>
          <w:b/>
          <w:color w:val="071E33"/>
          <w:sz w:val="19"/>
        </w:rPr>
        <w:t xml:space="preserve">4. Install full platforms. </w:t>
      </w:r>
      <w:r>
        <w:rPr>
          <w:rFonts w:ascii="Aptos" w:hAnsi="Aptos"/>
          <w:b w:val="0"/>
          <w:color w:val="263442"/>
          <w:sz w:val="19"/>
        </w:rPr>
        <w:t>Install full platforms, access, guardrails and toe boards.</w:t>
      </w:r>
    </w:p>
    <w:p>
      <w:pPr>
        <w:keepLines/>
        <w:spacing w:after="100" w:line="269" w:lineRule="auto"/>
        <w:ind w:left="369" w:hanging="369"/>
      </w:pPr>
      <w:r>
        <w:rPr>
          <w:rFonts w:ascii="Aptos" w:hAnsi="Aptos"/>
          <w:b/>
          <w:color w:val="071E33"/>
          <w:sz w:val="19"/>
        </w:rPr>
        <w:t xml:space="preserve">5. Inspect and tag. </w:t>
      </w:r>
      <w:r>
        <w:rPr>
          <w:rFonts w:ascii="Aptos" w:hAnsi="Aptos"/>
          <w:b w:val="0"/>
          <w:color w:val="263442"/>
          <w:sz w:val="19"/>
        </w:rPr>
        <w:t>Inspect and tag before use and after events affecting stability.</w:t>
      </w:r>
    </w:p>
    <w:p>
      <w:pPr>
        <w:keepLines/>
        <w:spacing w:after="100" w:line="269" w:lineRule="auto"/>
        <w:ind w:left="369" w:hanging="369"/>
      </w:pPr>
      <w:r>
        <w:rPr>
          <w:rFonts w:ascii="Aptos" w:hAnsi="Aptos"/>
          <w:b/>
          <w:color w:val="071E33"/>
          <w:sz w:val="19"/>
        </w:rPr>
        <w:t xml:space="preserve">6. Dismantle in reverse sequence under competent supervision. </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component condition; foundation; ties and bracing; platform and access; inspection tag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fall from height; falling objects; collapse; manual handling.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Component condition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Foundation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Ties and bracing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Platform and access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Inspection tag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Fall from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Falling objects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Collapse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Manual handling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MS-SAF-002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Scaffold Erection and Dismantling</dc:title>
  <dc:subject>Editable construction method statement template</dc:subject>
  <dc:creator>Method Statement Hub Malaysia</dc:creator>
  <cp:keywords>scaffold, scaffolding, perancah</cp:keywords>
  <dc:description>generated by python-docx</dc:description>
  <cp:lastModifiedBy/>
  <cp:revision>1</cp:revision>
  <dcterms:created xsi:type="dcterms:W3CDTF">2013-12-23T23:15:00Z</dcterms:created>
  <dcterms:modified xsi:type="dcterms:W3CDTF">2013-12-23T23:15:00Z</dcterms:modified>
  <cp:category/>
</cp:coreProperties>
</file>